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6D11" w14:textId="77777777" w:rsidR="002344C6" w:rsidRDefault="002344C6"/>
    <w:p w14:paraId="261E8220" w14:textId="5B2397A3" w:rsidR="002344C6" w:rsidRPr="002344C6" w:rsidRDefault="002344C6" w:rsidP="002344C6">
      <w:pPr>
        <w:ind w:left="4956" w:firstLine="708"/>
        <w:jc w:val="center"/>
      </w:pPr>
      <w:r>
        <w:t xml:space="preserve">Alla sezione </w:t>
      </w:r>
      <w:r w:rsidRPr="002344C6">
        <w:t xml:space="preserve">Amministrazione trasparente </w:t>
      </w:r>
    </w:p>
    <w:p w14:paraId="7B72D1C0" w14:textId="5A81ADD7" w:rsidR="002344C6" w:rsidRPr="002344C6" w:rsidRDefault="002344C6" w:rsidP="002344C6">
      <w:pPr>
        <w:ind w:left="4956" w:firstLine="708"/>
      </w:pPr>
      <w:r w:rsidRPr="002344C6">
        <w:t xml:space="preserve">All’albo </w:t>
      </w:r>
      <w:r>
        <w:t>online</w:t>
      </w:r>
    </w:p>
    <w:p w14:paraId="2DB8937E" w14:textId="77777777" w:rsidR="002344C6" w:rsidRDefault="002344C6"/>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38"/>
      </w:tblGrid>
      <w:tr w:rsidR="002344C6" w:rsidRPr="002344C6" w14:paraId="6602389A" w14:textId="77777777" w:rsidTr="002344C6">
        <w:tblPrEx>
          <w:tblCellMar>
            <w:top w:w="0" w:type="dxa"/>
            <w:bottom w:w="0" w:type="dxa"/>
          </w:tblCellMar>
        </w:tblPrEx>
        <w:trPr>
          <w:trHeight w:val="251"/>
        </w:trPr>
        <w:tc>
          <w:tcPr>
            <w:tcW w:w="9338" w:type="dxa"/>
            <w:tcBorders>
              <w:top w:val="nil"/>
              <w:left w:val="nil"/>
              <w:bottom w:val="nil"/>
              <w:right w:val="nil"/>
            </w:tcBorders>
          </w:tcPr>
          <w:p w14:paraId="0CE4EF32" w14:textId="0D7EF84B" w:rsidR="002344C6" w:rsidRPr="002344C6" w:rsidRDefault="002344C6" w:rsidP="002344C6">
            <w:r w:rsidRPr="002344C6">
              <w:rPr>
                <w:b/>
                <w:bCs/>
              </w:rPr>
              <w:t xml:space="preserve">Oggetto: </w:t>
            </w:r>
            <w:r w:rsidRPr="002344C6">
              <w:t>Decreto nomina Responsabile della gestione documentale e Responsabile della Conservazione. Nomina vicario del Responsabile della gestione documentale.</w:t>
            </w:r>
          </w:p>
        </w:tc>
      </w:tr>
    </w:tbl>
    <w:p w14:paraId="1C55E8D2" w14:textId="77777777" w:rsidR="002344C6" w:rsidRDefault="002344C6" w:rsidP="002344C6">
      <w:pPr>
        <w:rPr>
          <w:b/>
          <w:bCs/>
        </w:rPr>
      </w:pPr>
    </w:p>
    <w:p w14:paraId="2C8C7C5E" w14:textId="63144989" w:rsidR="002344C6" w:rsidRDefault="002344C6" w:rsidP="002344C6">
      <w:pPr>
        <w:rPr>
          <w:b/>
          <w:bCs/>
        </w:rPr>
      </w:pPr>
      <w:r w:rsidRPr="002344C6">
        <w:rPr>
          <w:b/>
          <w:bCs/>
        </w:rPr>
        <w:t>IL DIRIGENTE SCOLASTICO DEL</w:t>
      </w:r>
      <w:r>
        <w:rPr>
          <w:b/>
          <w:bCs/>
        </w:rPr>
        <w:t xml:space="preserve">L’ISTITUZIONE SCOLASTICA </w:t>
      </w:r>
      <w:r w:rsidRPr="002344C6">
        <w:rPr>
          <w:b/>
          <w:bCs/>
          <w:highlight w:val="yellow"/>
        </w:rPr>
        <w:t>……</w:t>
      </w:r>
    </w:p>
    <w:p w14:paraId="1A186CF0" w14:textId="77777777" w:rsidR="0062513F" w:rsidRDefault="0062513F" w:rsidP="002344C6">
      <w:pPr>
        <w:rPr>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275CD0" w14:paraId="69AF8D30" w14:textId="77777777" w:rsidTr="0062513F">
        <w:tc>
          <w:tcPr>
            <w:tcW w:w="1980" w:type="dxa"/>
          </w:tcPr>
          <w:p w14:paraId="0942A9A9" w14:textId="77777777" w:rsidR="00275CD0" w:rsidRDefault="00275CD0" w:rsidP="00275CD0">
            <w:pPr>
              <w:rPr>
                <w:b/>
                <w:bCs/>
              </w:rPr>
            </w:pPr>
            <w:r w:rsidRPr="002344C6">
              <w:rPr>
                <w:b/>
                <w:bCs/>
              </w:rPr>
              <w:t>VISTO</w:t>
            </w:r>
          </w:p>
          <w:p w14:paraId="5EC09525" w14:textId="77777777" w:rsidR="00275CD0" w:rsidRDefault="00275CD0" w:rsidP="002344C6">
            <w:pPr>
              <w:rPr>
                <w:b/>
                <w:bCs/>
              </w:rPr>
            </w:pPr>
          </w:p>
        </w:tc>
        <w:tc>
          <w:tcPr>
            <w:tcW w:w="7648" w:type="dxa"/>
          </w:tcPr>
          <w:p w14:paraId="1D5D0BE6" w14:textId="77777777" w:rsidR="00275CD0" w:rsidRPr="002344C6" w:rsidRDefault="00275CD0" w:rsidP="00275CD0">
            <w:r w:rsidRPr="002344C6">
              <w:t>il D.P.R. 28 dicembre 2000, n.445 recante il “Testo Unico delle disposizioni legislative e regolamentari in materia di documentazione amministrativa”, ed in particolare l’art. 50, comma 4, che recita “</w:t>
            </w:r>
            <w:r w:rsidRPr="002344C6">
              <w:rPr>
                <w:i/>
                <w:iCs/>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rsidRPr="002344C6">
              <w:t xml:space="preserve">”, nonché l’art. 61, che recita al comma 1 </w:t>
            </w:r>
            <w:r w:rsidRPr="002344C6">
              <w:rPr>
                <w:i/>
                <w:iCs/>
              </w:rPr>
              <w:t>“Ciascuna amministrazione istituisce un servizio per la tenuta del protocollo informatico, della gestione dei flussi documentali e degli archivi in ciascuna delle grandi aree organizzative omogenee individuate ai sensi dell'articolo 50. Il servizio è posto alle dirette dipendenze della stessa area organizzativa omogenee</w:t>
            </w:r>
            <w:r w:rsidRPr="002344C6">
              <w:t>” e al comma 2 “</w:t>
            </w:r>
            <w:r w:rsidRPr="002344C6">
              <w:rPr>
                <w:i/>
                <w:iCs/>
              </w:rPr>
              <w:t>Al servizio è preposto un dirigente ovvero un funzionario, comunque in possesso di idonei requisiti professionali o di professionalità tecnico archivistica acquisita a seguito di processi di formazione definiti secondo le procedure prescritte dalla disciplina vigente</w:t>
            </w:r>
            <w:r w:rsidRPr="002344C6">
              <w:t>”;</w:t>
            </w:r>
          </w:p>
          <w:p w14:paraId="159E2DB4" w14:textId="77777777" w:rsidR="00275CD0" w:rsidRDefault="00275CD0" w:rsidP="00275CD0">
            <w:pPr>
              <w:rPr>
                <w:b/>
                <w:bCs/>
              </w:rPr>
            </w:pPr>
          </w:p>
          <w:p w14:paraId="1D268456" w14:textId="77777777" w:rsidR="00275CD0" w:rsidRDefault="00275CD0" w:rsidP="002344C6">
            <w:pPr>
              <w:rPr>
                <w:b/>
                <w:bCs/>
              </w:rPr>
            </w:pPr>
          </w:p>
        </w:tc>
      </w:tr>
      <w:tr w:rsidR="00275CD0" w14:paraId="156D4158" w14:textId="77777777" w:rsidTr="0062513F">
        <w:tc>
          <w:tcPr>
            <w:tcW w:w="1980" w:type="dxa"/>
          </w:tcPr>
          <w:p w14:paraId="138B55D8" w14:textId="77777777" w:rsidR="00275CD0" w:rsidRDefault="00275CD0" w:rsidP="00275CD0">
            <w:pPr>
              <w:rPr>
                <w:b/>
                <w:bCs/>
              </w:rPr>
            </w:pPr>
            <w:r w:rsidRPr="002344C6">
              <w:rPr>
                <w:b/>
                <w:bCs/>
              </w:rPr>
              <w:t>VISTO</w:t>
            </w:r>
          </w:p>
          <w:p w14:paraId="3F756181" w14:textId="77777777" w:rsidR="00275CD0" w:rsidRPr="002344C6" w:rsidRDefault="00275CD0" w:rsidP="00275CD0">
            <w:pPr>
              <w:rPr>
                <w:b/>
                <w:bCs/>
              </w:rPr>
            </w:pPr>
          </w:p>
        </w:tc>
        <w:tc>
          <w:tcPr>
            <w:tcW w:w="7648" w:type="dxa"/>
          </w:tcPr>
          <w:p w14:paraId="152A5E38" w14:textId="7FF2A6B2" w:rsidR="00275CD0" w:rsidRPr="002344C6" w:rsidRDefault="00275CD0" w:rsidP="00275CD0">
            <w:r w:rsidRPr="002344C6">
              <w:t xml:space="preserve">il </w:t>
            </w:r>
            <w:proofErr w:type="spellStart"/>
            <w:r w:rsidRPr="002344C6">
              <w:t>D.Lgs.</w:t>
            </w:r>
            <w:proofErr w:type="spellEnd"/>
            <w:r w:rsidRPr="002344C6">
              <w:t xml:space="preserve"> 42/2004 e successive modificazioni Codice dei beni culturali e del paesaggio, ai sensi dell'articolo 10 della legge 6 luglio 2002, n. 137;</w:t>
            </w:r>
          </w:p>
        </w:tc>
      </w:tr>
      <w:tr w:rsidR="00275CD0" w14:paraId="47D8CBB4" w14:textId="77777777" w:rsidTr="0062513F">
        <w:tc>
          <w:tcPr>
            <w:tcW w:w="1980" w:type="dxa"/>
          </w:tcPr>
          <w:p w14:paraId="523BB443" w14:textId="19FFA99A" w:rsidR="00275CD0" w:rsidRPr="002344C6" w:rsidRDefault="00275CD0" w:rsidP="00275CD0">
            <w:pPr>
              <w:rPr>
                <w:b/>
                <w:bCs/>
              </w:rPr>
            </w:pPr>
            <w:r w:rsidRPr="002344C6">
              <w:rPr>
                <w:b/>
                <w:bCs/>
              </w:rPr>
              <w:t>VISTE</w:t>
            </w:r>
          </w:p>
        </w:tc>
        <w:tc>
          <w:tcPr>
            <w:tcW w:w="7648" w:type="dxa"/>
          </w:tcPr>
          <w:p w14:paraId="577F4076" w14:textId="1EDBA4FF" w:rsidR="00275CD0" w:rsidRPr="002344C6" w:rsidRDefault="00275CD0" w:rsidP="00275CD0">
            <w:r w:rsidRPr="002344C6">
              <w:t>le Linee Guida AgID Linee Guida sulla formazione, gestione e conservazione dei documenti informatici, adottate dall’AgID con Determinazione n. 407/2020 del 9 settembre 2020 ed in seguito aggiornate con Determinazione n. 371/2021 del 17 maggio 2021 (da attuare entro il 1° gennaio 2022);</w:t>
            </w:r>
          </w:p>
        </w:tc>
      </w:tr>
      <w:tr w:rsidR="00275CD0" w14:paraId="45DAF84B" w14:textId="77777777" w:rsidTr="0062513F">
        <w:tc>
          <w:tcPr>
            <w:tcW w:w="1980" w:type="dxa"/>
          </w:tcPr>
          <w:p w14:paraId="1F7B4D4E" w14:textId="725DE711" w:rsidR="00275CD0" w:rsidRPr="002344C6" w:rsidRDefault="00275CD0" w:rsidP="00275CD0">
            <w:pPr>
              <w:rPr>
                <w:b/>
                <w:bCs/>
              </w:rPr>
            </w:pPr>
            <w:r w:rsidRPr="002344C6">
              <w:rPr>
                <w:b/>
                <w:bCs/>
              </w:rPr>
              <w:t>VISTA</w:t>
            </w:r>
          </w:p>
        </w:tc>
        <w:tc>
          <w:tcPr>
            <w:tcW w:w="7648" w:type="dxa"/>
          </w:tcPr>
          <w:p w14:paraId="585166A0" w14:textId="119E3B2A" w:rsidR="00275CD0" w:rsidRPr="002344C6" w:rsidRDefault="00275CD0" w:rsidP="00275CD0">
            <w:r w:rsidRPr="002344C6">
              <w:t>la L. 241/1990 Nuove norme in materia di procedimento amministrativo e di diritto di accesso ai documenti amministrativi;</w:t>
            </w:r>
          </w:p>
        </w:tc>
      </w:tr>
      <w:tr w:rsidR="00275CD0" w14:paraId="0B70CF7B" w14:textId="77777777" w:rsidTr="0062513F">
        <w:tc>
          <w:tcPr>
            <w:tcW w:w="1980" w:type="dxa"/>
          </w:tcPr>
          <w:p w14:paraId="731049C2" w14:textId="398881AE" w:rsidR="00275CD0" w:rsidRPr="002344C6" w:rsidRDefault="00275CD0" w:rsidP="00275CD0">
            <w:pPr>
              <w:rPr>
                <w:b/>
                <w:bCs/>
              </w:rPr>
            </w:pPr>
            <w:r w:rsidRPr="002344C6">
              <w:rPr>
                <w:b/>
                <w:bCs/>
              </w:rPr>
              <w:t>VISTO</w:t>
            </w:r>
          </w:p>
        </w:tc>
        <w:tc>
          <w:tcPr>
            <w:tcW w:w="7648" w:type="dxa"/>
          </w:tcPr>
          <w:p w14:paraId="52EA8EB0" w14:textId="35753AE9" w:rsidR="00275CD0" w:rsidRPr="002344C6" w:rsidRDefault="00275CD0" w:rsidP="00275CD0">
            <w:r w:rsidRPr="002344C6">
              <w:t xml:space="preserve">il </w:t>
            </w:r>
            <w:proofErr w:type="spellStart"/>
            <w:r w:rsidRPr="002344C6">
              <w:t>D.Lgs.</w:t>
            </w:r>
            <w:proofErr w:type="spellEnd"/>
            <w:r w:rsidRPr="002344C6">
              <w:t xml:space="preserve"> 196/2003 e successive modificazioni Codice in materia di protezione dei dati personal</w:t>
            </w:r>
            <w:r>
              <w:t>i e il Regolamento UE 2016/679 GDPR</w:t>
            </w:r>
          </w:p>
        </w:tc>
      </w:tr>
      <w:tr w:rsidR="00275CD0" w14:paraId="27C676B8" w14:textId="77777777" w:rsidTr="0062513F">
        <w:tc>
          <w:tcPr>
            <w:tcW w:w="1980" w:type="dxa"/>
          </w:tcPr>
          <w:p w14:paraId="3668C191" w14:textId="7C153BBD" w:rsidR="00275CD0" w:rsidRPr="002344C6" w:rsidRDefault="00275CD0" w:rsidP="00275CD0">
            <w:pPr>
              <w:rPr>
                <w:b/>
                <w:bCs/>
              </w:rPr>
            </w:pPr>
            <w:r w:rsidRPr="002344C6">
              <w:rPr>
                <w:b/>
                <w:bCs/>
              </w:rPr>
              <w:t>VISTO</w:t>
            </w:r>
          </w:p>
        </w:tc>
        <w:tc>
          <w:tcPr>
            <w:tcW w:w="7648" w:type="dxa"/>
          </w:tcPr>
          <w:p w14:paraId="6BD6BABB" w14:textId="2BEFAA94" w:rsidR="00275CD0" w:rsidRPr="002344C6" w:rsidRDefault="00275CD0" w:rsidP="00275CD0">
            <w:r w:rsidRPr="002344C6">
              <w:t xml:space="preserve">il </w:t>
            </w:r>
            <w:proofErr w:type="spellStart"/>
            <w:r w:rsidRPr="002344C6">
              <w:t>D.Lgs.</w:t>
            </w:r>
            <w:proofErr w:type="spellEnd"/>
            <w:r w:rsidRPr="002344C6">
              <w:t xml:space="preserve"> 82/2005 e successive modificazioni Codice dell’amministrazione digitale (CAD);</w:t>
            </w:r>
          </w:p>
        </w:tc>
      </w:tr>
      <w:tr w:rsidR="00275CD0" w14:paraId="1301A37F" w14:textId="77777777" w:rsidTr="0062513F">
        <w:tc>
          <w:tcPr>
            <w:tcW w:w="1980" w:type="dxa"/>
          </w:tcPr>
          <w:p w14:paraId="5FD0750D" w14:textId="12D3AF5A" w:rsidR="00275CD0" w:rsidRPr="002344C6" w:rsidRDefault="00275CD0" w:rsidP="00275CD0">
            <w:pPr>
              <w:rPr>
                <w:b/>
                <w:bCs/>
              </w:rPr>
            </w:pPr>
            <w:r>
              <w:rPr>
                <w:b/>
                <w:bCs/>
              </w:rPr>
              <w:t>VISTO</w:t>
            </w:r>
          </w:p>
        </w:tc>
        <w:tc>
          <w:tcPr>
            <w:tcW w:w="7648" w:type="dxa"/>
          </w:tcPr>
          <w:p w14:paraId="47D3EBF8" w14:textId="77777777" w:rsidR="00275CD0" w:rsidRDefault="00275CD0" w:rsidP="00275CD0">
            <w:pPr>
              <w:spacing w:after="160" w:line="259" w:lineRule="auto"/>
            </w:pPr>
            <w:r>
              <w:t xml:space="preserve">il DPCM del 22 febbraio 2013 Regole tecniche in materia di generazione, apposizione e verifica delle firme elettroniche avanzate, qualificate e digitali, ai sensi degli articoli 20, comma 3, 24, comma 4, 28, comma 3, 32, comma 3, lettera b), 35, comma 2, 36, </w:t>
            </w:r>
          </w:p>
          <w:p w14:paraId="5B277007" w14:textId="2810761E" w:rsidR="00275CD0" w:rsidRPr="002344C6" w:rsidRDefault="00275CD0" w:rsidP="00275CD0">
            <w:r>
              <w:t>comma 2, e 71;</w:t>
            </w:r>
          </w:p>
        </w:tc>
      </w:tr>
      <w:tr w:rsidR="00275CD0" w14:paraId="50E3F864" w14:textId="77777777" w:rsidTr="0062513F">
        <w:tc>
          <w:tcPr>
            <w:tcW w:w="1980" w:type="dxa"/>
          </w:tcPr>
          <w:p w14:paraId="7717162C" w14:textId="366D6461" w:rsidR="00275CD0" w:rsidRDefault="00275CD0" w:rsidP="00275CD0">
            <w:pPr>
              <w:rPr>
                <w:b/>
                <w:bCs/>
              </w:rPr>
            </w:pPr>
            <w:r>
              <w:rPr>
                <w:b/>
                <w:bCs/>
              </w:rPr>
              <w:lastRenderedPageBreak/>
              <w:t>VISTO</w:t>
            </w:r>
          </w:p>
        </w:tc>
        <w:tc>
          <w:tcPr>
            <w:tcW w:w="7648" w:type="dxa"/>
          </w:tcPr>
          <w:p w14:paraId="4BBA9B48" w14:textId="1C401379" w:rsidR="00275CD0" w:rsidRDefault="00275CD0" w:rsidP="00275CD0">
            <w:r>
              <w:t>il DPCM del 21 marzo 2013 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p>
        </w:tc>
      </w:tr>
      <w:tr w:rsidR="00275CD0" w14:paraId="63417195" w14:textId="77777777" w:rsidTr="0062513F">
        <w:tc>
          <w:tcPr>
            <w:tcW w:w="1980" w:type="dxa"/>
          </w:tcPr>
          <w:p w14:paraId="4368F8CD" w14:textId="27CEFED5" w:rsidR="00275CD0" w:rsidRDefault="00275CD0" w:rsidP="00275CD0">
            <w:pPr>
              <w:jc w:val="both"/>
              <w:rPr>
                <w:b/>
                <w:bCs/>
              </w:rPr>
            </w:pPr>
            <w:r>
              <w:rPr>
                <w:b/>
                <w:bCs/>
              </w:rPr>
              <w:t>VISTO</w:t>
            </w:r>
          </w:p>
        </w:tc>
        <w:tc>
          <w:tcPr>
            <w:tcW w:w="7648" w:type="dxa"/>
          </w:tcPr>
          <w:p w14:paraId="2D1D9748" w14:textId="765DA6F1" w:rsidR="00275CD0" w:rsidRDefault="00275CD0" w:rsidP="00275CD0">
            <w:r>
              <w:t xml:space="preserve">il decreto del Presidente del </w:t>
            </w:r>
            <w:proofErr w:type="gramStart"/>
            <w:r>
              <w:t>consiglio dei Ministri</w:t>
            </w:r>
            <w:proofErr w:type="gramEnd"/>
            <w:r>
              <w:t xml:space="preserve"> 3 dicembre 2013, recante “Regole tecniche per il protocollo informatico ai sensi degli articoli 40</w:t>
            </w:r>
            <w:proofErr w:type="gramStart"/>
            <w:r>
              <w:t>bis ,</w:t>
            </w:r>
            <w:proofErr w:type="gramEnd"/>
            <w:r>
              <w:t xml:space="preserve"> 41, 47, 57bis e 71, del Codice dell’amministrazione digitale di cui al decreto legislativo n. 82 del 2005”;</w:t>
            </w:r>
          </w:p>
        </w:tc>
      </w:tr>
      <w:tr w:rsidR="00275CD0" w14:paraId="4EB774F7" w14:textId="77777777" w:rsidTr="0062513F">
        <w:tc>
          <w:tcPr>
            <w:tcW w:w="1980" w:type="dxa"/>
          </w:tcPr>
          <w:p w14:paraId="0EDFCA27" w14:textId="5DE68951" w:rsidR="00275CD0" w:rsidRDefault="00275CD0" w:rsidP="00275CD0">
            <w:pPr>
              <w:jc w:val="both"/>
              <w:rPr>
                <w:b/>
                <w:bCs/>
              </w:rPr>
            </w:pPr>
            <w:r>
              <w:rPr>
                <w:b/>
                <w:bCs/>
              </w:rPr>
              <w:t>VISTO</w:t>
            </w:r>
          </w:p>
        </w:tc>
        <w:tc>
          <w:tcPr>
            <w:tcW w:w="7648" w:type="dxa"/>
          </w:tcPr>
          <w:p w14:paraId="3A5AF6B6" w14:textId="3E2D0DEC" w:rsidR="00275CD0" w:rsidRDefault="00275CD0" w:rsidP="00275CD0">
            <w:r>
              <w:t xml:space="preserve">il decreto del Presidente del </w:t>
            </w:r>
            <w:proofErr w:type="gramStart"/>
            <w:r>
              <w:t>consiglio dei Ministri</w:t>
            </w:r>
            <w:proofErr w:type="gramEnd"/>
            <w:r>
              <w:t xml:space="preserve"> 13 novembre 2014 recante “Regole tecniche in materia di formazione, trasmissione, copia, duplicazione, riproduzione e validazione temporale dei documenti informatici nonché di formazione e conservazione dei documenti informatici delle pubbliche amministrazioni ai sensi degli articoli 20, 22, 23</w:t>
            </w:r>
            <w:proofErr w:type="gramStart"/>
            <w:r w:rsidRPr="002344C6">
              <w:t xml:space="preserve">bis </w:t>
            </w:r>
            <w:r>
              <w:t>,</w:t>
            </w:r>
            <w:proofErr w:type="gramEnd"/>
            <w:r>
              <w:t xml:space="preserve"> 23</w:t>
            </w:r>
            <w:r w:rsidRPr="002344C6">
              <w:t>ter</w:t>
            </w:r>
            <w:r>
              <w:t>, 40, comma 1, 41, e 71, comma 1, del Codice dell’amministrazione digitale di cui al decreto legislativo n. 82 del 2005”;</w:t>
            </w:r>
          </w:p>
        </w:tc>
      </w:tr>
      <w:tr w:rsidR="00275CD0" w14:paraId="17F5A35B" w14:textId="77777777" w:rsidTr="0062513F">
        <w:tc>
          <w:tcPr>
            <w:tcW w:w="1980" w:type="dxa"/>
          </w:tcPr>
          <w:p w14:paraId="0EA2712F" w14:textId="405EAA15" w:rsidR="00275CD0" w:rsidRDefault="00275CD0" w:rsidP="00275CD0">
            <w:pPr>
              <w:jc w:val="both"/>
              <w:rPr>
                <w:b/>
                <w:bCs/>
              </w:rPr>
            </w:pPr>
            <w:r>
              <w:rPr>
                <w:b/>
                <w:bCs/>
              </w:rPr>
              <w:t>VISTO</w:t>
            </w:r>
          </w:p>
        </w:tc>
        <w:tc>
          <w:tcPr>
            <w:tcW w:w="7648" w:type="dxa"/>
          </w:tcPr>
          <w:p w14:paraId="08DCC170" w14:textId="2B852102" w:rsidR="00275CD0" w:rsidRDefault="00275CD0" w:rsidP="00275CD0">
            <w:r>
              <w:t xml:space="preserve">il Regolamento UE 910/2014 (Regolamento </w:t>
            </w:r>
            <w:r w:rsidRPr="002344C6">
              <w:t>eIDAS</w:t>
            </w:r>
            <w:r>
              <w:t>) Regolamento in materia di identificazione elettronica e servizi fiduciari per le transazioni elettroniche nel mercato interno e che abroga la direttiva 1999/93/CE;</w:t>
            </w:r>
          </w:p>
        </w:tc>
      </w:tr>
      <w:tr w:rsidR="00275CD0" w14:paraId="025BDCB4" w14:textId="77777777" w:rsidTr="0062513F">
        <w:tc>
          <w:tcPr>
            <w:tcW w:w="1980" w:type="dxa"/>
          </w:tcPr>
          <w:p w14:paraId="025CCC32" w14:textId="715FB502" w:rsidR="00275CD0" w:rsidRDefault="00275CD0" w:rsidP="00275CD0">
            <w:pPr>
              <w:jc w:val="both"/>
              <w:rPr>
                <w:b/>
                <w:bCs/>
              </w:rPr>
            </w:pPr>
            <w:r>
              <w:rPr>
                <w:b/>
                <w:bCs/>
              </w:rPr>
              <w:t>ESAMINATA</w:t>
            </w:r>
          </w:p>
        </w:tc>
        <w:tc>
          <w:tcPr>
            <w:tcW w:w="7648" w:type="dxa"/>
          </w:tcPr>
          <w:p w14:paraId="3D124E8A" w14:textId="691CA87A" w:rsidR="00275CD0" w:rsidRDefault="00275CD0" w:rsidP="00275CD0">
            <w:r>
              <w:t>la documentazione trasmessa con la nota congiunta Ministero dell'Istruzione e Ministero della Cultura prot. 3868 del 10.12.2021;</w:t>
            </w:r>
          </w:p>
        </w:tc>
      </w:tr>
      <w:tr w:rsidR="00275CD0" w14:paraId="7446A815" w14:textId="77777777" w:rsidTr="0062513F">
        <w:tc>
          <w:tcPr>
            <w:tcW w:w="1980" w:type="dxa"/>
          </w:tcPr>
          <w:p w14:paraId="200F7E9C" w14:textId="5E618790" w:rsidR="00275CD0" w:rsidRDefault="00275CD0" w:rsidP="00275CD0">
            <w:pPr>
              <w:jc w:val="both"/>
              <w:rPr>
                <w:b/>
                <w:bCs/>
              </w:rPr>
            </w:pPr>
            <w:r>
              <w:rPr>
                <w:b/>
                <w:bCs/>
              </w:rPr>
              <w:t>CONSIDERATO</w:t>
            </w:r>
          </w:p>
        </w:tc>
        <w:tc>
          <w:tcPr>
            <w:tcW w:w="7648" w:type="dxa"/>
          </w:tcPr>
          <w:p w14:paraId="0D78F473" w14:textId="0E4A4D4D" w:rsidR="00275CD0" w:rsidRDefault="00275CD0" w:rsidP="00275CD0">
            <w:r w:rsidRPr="002344C6">
              <w:t xml:space="preserve">che gli uffici </w:t>
            </w:r>
            <w:r>
              <w:t>dell’Istituzione scolastica</w:t>
            </w:r>
            <w:r w:rsidRPr="002344C6">
              <w:t xml:space="preserve"> devono dotarsi di una gestione unica e coordinata dei documenti – anche informatici – e criteri uniformi di protocollazione, classificazione e archiviazione degli stessi;</w:t>
            </w:r>
          </w:p>
        </w:tc>
      </w:tr>
      <w:tr w:rsidR="00275CD0" w14:paraId="152C115F" w14:textId="77777777" w:rsidTr="0062513F">
        <w:tc>
          <w:tcPr>
            <w:tcW w:w="1980" w:type="dxa"/>
          </w:tcPr>
          <w:p w14:paraId="6ADCFED0" w14:textId="574004C8" w:rsidR="00275CD0" w:rsidRDefault="00275CD0" w:rsidP="00275CD0">
            <w:pPr>
              <w:jc w:val="both"/>
              <w:rPr>
                <w:b/>
                <w:bCs/>
              </w:rPr>
            </w:pPr>
            <w:r>
              <w:rPr>
                <w:b/>
                <w:bCs/>
              </w:rPr>
              <w:t>CONSIDERATO</w:t>
            </w:r>
          </w:p>
        </w:tc>
        <w:tc>
          <w:tcPr>
            <w:tcW w:w="7648" w:type="dxa"/>
          </w:tcPr>
          <w:p w14:paraId="3B285405" w14:textId="3E44ED7E" w:rsidR="00275CD0" w:rsidRPr="002344C6" w:rsidRDefault="00275CD0" w:rsidP="00275CD0">
            <w:r w:rsidRPr="002344C6">
              <w:t>che, in ragione dell’organizzazione dell’Istituto, è stata individuata un’unica area organizzativa omogenea (AOO);</w:t>
            </w:r>
          </w:p>
        </w:tc>
      </w:tr>
      <w:tr w:rsidR="00275CD0" w14:paraId="7B41F226" w14:textId="77777777" w:rsidTr="0062513F">
        <w:tc>
          <w:tcPr>
            <w:tcW w:w="1980" w:type="dxa"/>
          </w:tcPr>
          <w:p w14:paraId="7DBA45C4" w14:textId="53DA9FDD" w:rsidR="00275CD0" w:rsidRDefault="00275CD0" w:rsidP="00275CD0">
            <w:pPr>
              <w:jc w:val="both"/>
              <w:rPr>
                <w:b/>
                <w:bCs/>
              </w:rPr>
            </w:pPr>
            <w:r>
              <w:rPr>
                <w:b/>
                <w:bCs/>
              </w:rPr>
              <w:t>RITENUTO</w:t>
            </w:r>
          </w:p>
        </w:tc>
        <w:tc>
          <w:tcPr>
            <w:tcW w:w="7648" w:type="dxa"/>
          </w:tcPr>
          <w:p w14:paraId="6E13737A" w14:textId="376FF6EC" w:rsidR="00275CD0" w:rsidRPr="002344C6" w:rsidRDefault="00275CD0" w:rsidP="00275CD0">
            <w:r w:rsidRPr="002344C6">
              <w:t>di dover procedere alla individuazione del soggetto preposto al servizio per la gestione informatica dei documenti, dei flussi documentali e degli archivi, sulla base dei criteri stabiliti dal DPR 445/2000, articolo 61, comma 2 nonché dell’art. 4 del DPCM 3 dicembre 2013 sopra citati;</w:t>
            </w:r>
          </w:p>
        </w:tc>
      </w:tr>
    </w:tbl>
    <w:p w14:paraId="25BB1C5C" w14:textId="77777777" w:rsidR="00275CD0" w:rsidRDefault="00275CD0" w:rsidP="002344C6">
      <w:pPr>
        <w:rPr>
          <w:b/>
          <w:bCs/>
        </w:rPr>
      </w:pPr>
    </w:p>
    <w:p w14:paraId="5A42447F" w14:textId="3BF70086" w:rsidR="002344C6" w:rsidRDefault="002344C6" w:rsidP="00275CD0">
      <w:pPr>
        <w:jc w:val="center"/>
        <w:rPr>
          <w:b/>
          <w:bCs/>
        </w:rPr>
      </w:pPr>
      <w:r w:rsidRPr="002344C6">
        <w:rPr>
          <w:b/>
          <w:bCs/>
        </w:rPr>
        <w:t>DECRETA</w:t>
      </w:r>
    </w:p>
    <w:p w14:paraId="1CDD1CBA" w14:textId="77777777" w:rsidR="002344C6" w:rsidRPr="002344C6" w:rsidRDefault="002344C6" w:rsidP="002344C6">
      <w:pPr>
        <w:jc w:val="center"/>
      </w:pPr>
    </w:p>
    <w:p w14:paraId="39DB0D4D" w14:textId="156CF95B" w:rsidR="002344C6" w:rsidRPr="002344C6" w:rsidRDefault="00275CD0" w:rsidP="002344C6">
      <w:r>
        <w:t>1</w:t>
      </w:r>
      <w:r w:rsidR="002344C6" w:rsidRPr="002344C6">
        <w:t xml:space="preserve">. Il </w:t>
      </w:r>
      <w:r w:rsidR="002344C6">
        <w:t>Dirigente Scolastico pro tempore</w:t>
      </w:r>
      <w:r w:rsidR="002344C6" w:rsidRPr="002344C6">
        <w:t xml:space="preserve"> è nominato quale Responsabile della gestione documentale e Responsabile della Conservazione</w:t>
      </w:r>
      <w:r w:rsidR="002344C6">
        <w:t>.</w:t>
      </w:r>
    </w:p>
    <w:p w14:paraId="239A0C54" w14:textId="6AFD6B61" w:rsidR="002344C6" w:rsidRPr="002344C6" w:rsidRDefault="00275CD0" w:rsidP="002344C6">
      <w:r>
        <w:t>2</w:t>
      </w:r>
      <w:r w:rsidR="002344C6" w:rsidRPr="002344C6">
        <w:t xml:space="preserve">. </w:t>
      </w:r>
      <w:r w:rsidR="002344C6">
        <w:t>Il Direttore dei Servizi Generali e Amministrativi</w:t>
      </w:r>
      <w:r w:rsidR="002344C6" w:rsidRPr="002344C6">
        <w:t xml:space="preserve"> è nominato quale Vicario del Responsabile della gestione documentale nei casi di vacanza, assenza o impedimento. </w:t>
      </w:r>
    </w:p>
    <w:p w14:paraId="7E5B1740" w14:textId="1C7CF454" w:rsidR="002344C6" w:rsidRDefault="00275CD0" w:rsidP="002344C6">
      <w:pPr>
        <w:numPr>
          <w:ilvl w:val="1"/>
          <w:numId w:val="2"/>
        </w:numPr>
      </w:pPr>
      <w:r>
        <w:t>3</w:t>
      </w:r>
      <w:r w:rsidR="002344C6" w:rsidRPr="002344C6">
        <w:t xml:space="preserve">. Il </w:t>
      </w:r>
      <w:r w:rsidR="0062513F">
        <w:t>R</w:t>
      </w:r>
      <w:r w:rsidR="002344C6" w:rsidRPr="002344C6">
        <w:t xml:space="preserve">esponsabile della gestione documentale dovrà svolgere il ruolo assegnato nel pieno rispetto della normativa vigente ed in particolare del citato DPCM del 3 dicembre 2013 e successive modifiche e integrazioni, nonché degli altri provvedimenti per la tenuta dei documenti informatici in ossequio ai quali vengono erogati i servizi di gestione documentale. In particolare, al Responsabile spetta il compito di: </w:t>
      </w:r>
    </w:p>
    <w:p w14:paraId="67D7C5AF" w14:textId="3E989363" w:rsidR="002344C6" w:rsidRPr="002344C6" w:rsidRDefault="002344C6" w:rsidP="002344C6">
      <w:pPr>
        <w:numPr>
          <w:ilvl w:val="1"/>
          <w:numId w:val="2"/>
        </w:numPr>
      </w:pPr>
      <w:r w:rsidRPr="002344C6">
        <w:lastRenderedPageBreak/>
        <w:t xml:space="preserve">a. nominare delegati per le operazioni di protocollazione e gestione documentale; </w:t>
      </w:r>
    </w:p>
    <w:p w14:paraId="2DAFE227" w14:textId="77777777" w:rsidR="002344C6" w:rsidRPr="002344C6" w:rsidRDefault="002344C6" w:rsidP="002344C6">
      <w:pPr>
        <w:numPr>
          <w:ilvl w:val="1"/>
          <w:numId w:val="3"/>
        </w:numPr>
      </w:pPr>
      <w:r w:rsidRPr="002344C6">
        <w:t xml:space="preserve">b. predisporre lo schema del manuale di gestione di cui all'art. 5 DPCM 3 dicembre 2013 e provvedere ai necessari aggiornamenti; </w:t>
      </w:r>
    </w:p>
    <w:p w14:paraId="4F83B694" w14:textId="77777777" w:rsidR="002344C6" w:rsidRPr="002344C6" w:rsidRDefault="002344C6" w:rsidP="002344C6">
      <w:pPr>
        <w:numPr>
          <w:ilvl w:val="1"/>
          <w:numId w:val="3"/>
        </w:numPr>
      </w:pPr>
      <w:r w:rsidRPr="002344C6">
        <w:t xml:space="preserve">c. proporre i tempi, le modalità e le misure organizzative e tecniche di cui all'art. 3, comma 1, lettera e) DPCM 3 dicembre 2013; </w:t>
      </w:r>
    </w:p>
    <w:p w14:paraId="0B003664" w14:textId="00B5FA95" w:rsidR="002344C6" w:rsidRPr="002344C6" w:rsidRDefault="002344C6" w:rsidP="002344C6">
      <w:pPr>
        <w:numPr>
          <w:ilvl w:val="1"/>
          <w:numId w:val="3"/>
        </w:numPr>
      </w:pPr>
      <w:r w:rsidRPr="002344C6">
        <w:t>d. occuparsi delle cautele in materia di sicurezza informatica relative alla formazione, alla gestione, alla trasmissione, all'interscambio, all'accesso, alla conservazione dei documenti informatici.</w:t>
      </w:r>
    </w:p>
    <w:p w14:paraId="50163D0C" w14:textId="739BC8C2" w:rsidR="002344C6" w:rsidRPr="002344C6" w:rsidRDefault="002344C6" w:rsidP="002344C6">
      <w:r w:rsidRPr="002344C6">
        <w:t xml:space="preserve">5. Restano salve le funzioni e le responsabilità in materia di corretta gestione e conservazione dei documenti e dei fascicoli di competenza dei Responsabili dei procedimenti amministrativi e degli utenti abilitati all’uso del sistema di gestione documentale, </w:t>
      </w:r>
      <w:r w:rsidRPr="002344C6">
        <w:t>così</w:t>
      </w:r>
      <w:r w:rsidRPr="002344C6">
        <w:t xml:space="preserve"> come definiti nell’ambito del Manuale di gestione di prossima emanazione. </w:t>
      </w:r>
    </w:p>
    <w:p w14:paraId="0030D1E6" w14:textId="77777777" w:rsidR="002344C6" w:rsidRPr="002344C6" w:rsidRDefault="002344C6" w:rsidP="002344C6">
      <w:r w:rsidRPr="002344C6">
        <w:t xml:space="preserve">6. Per la pubblicazione dei documenti on line sarà assicurato il raccordo con la funzione strumentale, Responsabile del sito web. </w:t>
      </w:r>
    </w:p>
    <w:p w14:paraId="6BF1248B" w14:textId="77777777" w:rsidR="002344C6" w:rsidRPr="002344C6" w:rsidRDefault="002344C6" w:rsidP="002344C6">
      <w:r w:rsidRPr="002344C6">
        <w:t xml:space="preserve">7. La presente nomina può essere revocata in ogni momento, con effetto immediato e senza obbligo di preavviso. </w:t>
      </w:r>
    </w:p>
    <w:p w14:paraId="1D13C6FC" w14:textId="77777777" w:rsidR="002344C6" w:rsidRPr="002344C6" w:rsidRDefault="002344C6" w:rsidP="002344C6"/>
    <w:p w14:paraId="6C25D802" w14:textId="1AC5755C" w:rsidR="00EF0B4F" w:rsidRDefault="002344C6" w:rsidP="002344C6">
      <w:pPr>
        <w:jc w:val="right"/>
      </w:pPr>
      <w:r w:rsidRPr="002344C6">
        <w:t>f.to Il Dirigente Scolastico</w:t>
      </w:r>
    </w:p>
    <w:sectPr w:rsidR="00EF0B4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272E" w14:textId="77777777" w:rsidR="009156C5" w:rsidRDefault="009156C5" w:rsidP="0062513F">
      <w:pPr>
        <w:spacing w:after="0" w:line="240" w:lineRule="auto"/>
      </w:pPr>
      <w:r>
        <w:separator/>
      </w:r>
    </w:p>
  </w:endnote>
  <w:endnote w:type="continuationSeparator" w:id="0">
    <w:p w14:paraId="2C66163B" w14:textId="77777777" w:rsidR="009156C5" w:rsidRDefault="009156C5" w:rsidP="0062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EDF3" w14:textId="77777777" w:rsidR="009156C5" w:rsidRDefault="009156C5" w:rsidP="0062513F">
      <w:pPr>
        <w:spacing w:after="0" w:line="240" w:lineRule="auto"/>
      </w:pPr>
      <w:r>
        <w:separator/>
      </w:r>
    </w:p>
  </w:footnote>
  <w:footnote w:type="continuationSeparator" w:id="0">
    <w:p w14:paraId="5AC224D6" w14:textId="77777777" w:rsidR="009156C5" w:rsidRDefault="009156C5" w:rsidP="00625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1"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5950"/>
      <w:gridCol w:w="1609"/>
    </w:tblGrid>
    <w:tr w:rsidR="0062513F" w14:paraId="3B8D83B0" w14:textId="77777777" w:rsidTr="00151FC8">
      <w:trPr>
        <w:cantSplit/>
        <w:trHeight w:val="290"/>
      </w:trPr>
      <w:tc>
        <w:tcPr>
          <w:tcW w:w="1106" w:type="pct"/>
          <w:vMerge w:val="restart"/>
          <w:vAlign w:val="center"/>
        </w:tcPr>
        <w:p w14:paraId="369B57C8" w14:textId="77777777" w:rsidR="0062513F" w:rsidRPr="0016398B" w:rsidRDefault="0062513F" w:rsidP="0062513F">
          <w:pPr>
            <w:pStyle w:val="Intestazione"/>
            <w:jc w:val="center"/>
            <w:rPr>
              <w:rFonts w:ascii="Bookman Old Style" w:hAnsi="Bookman Old Style"/>
              <w:b/>
              <w:sz w:val="32"/>
              <w:szCs w:val="32"/>
              <w:lang w:val="en-GB"/>
            </w:rPr>
          </w:pPr>
          <w:r w:rsidRPr="00A84E48">
            <w:rPr>
              <w:rFonts w:ascii="Verdana" w:hAnsi="Verdana"/>
              <w:szCs w:val="16"/>
              <w:highlight w:val="yellow"/>
            </w:rPr>
            <w:t>Scuola</w:t>
          </w:r>
        </w:p>
      </w:tc>
      <w:tc>
        <w:tcPr>
          <w:tcW w:w="3065" w:type="pct"/>
          <w:vMerge w:val="restart"/>
          <w:vAlign w:val="center"/>
        </w:tcPr>
        <w:p w14:paraId="49915AE6" w14:textId="3750F2C4" w:rsidR="0062513F" w:rsidRPr="000A3113" w:rsidRDefault="0062513F" w:rsidP="0062513F">
          <w:pPr>
            <w:pStyle w:val="Intestazione"/>
            <w:jc w:val="center"/>
            <w:rPr>
              <w:rFonts w:ascii="Century Gothic" w:hAnsi="Century Gothic"/>
            </w:rPr>
          </w:pPr>
          <w:r>
            <w:rPr>
              <w:rFonts w:ascii="Verdana" w:hAnsi="Verdana"/>
              <w:bCs/>
              <w:szCs w:val="16"/>
            </w:rPr>
            <w:t>NOMINA RESPONSABILE GESTIONE DOCUMENTALE E CONSERVAZIONE</w:t>
          </w:r>
        </w:p>
      </w:tc>
      <w:tc>
        <w:tcPr>
          <w:tcW w:w="829" w:type="pct"/>
          <w:vAlign w:val="center"/>
        </w:tcPr>
        <w:p w14:paraId="68590E7B" w14:textId="77777777" w:rsidR="0062513F" w:rsidRPr="00DC6072" w:rsidRDefault="0062513F" w:rsidP="0062513F">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985E39">
            <w:rPr>
              <w:sz w:val="12"/>
            </w:rPr>
            <w:fldChar w:fldCharType="begin"/>
          </w:r>
          <w:r w:rsidRPr="00985E39">
            <w:rPr>
              <w:sz w:val="12"/>
            </w:rPr>
            <w:instrText xml:space="preserve"> PAGE </w:instrText>
          </w:r>
          <w:r w:rsidRPr="00985E39">
            <w:rPr>
              <w:sz w:val="12"/>
            </w:rPr>
            <w:fldChar w:fldCharType="separate"/>
          </w:r>
          <w:r w:rsidRPr="00985E39">
            <w:rPr>
              <w:sz w:val="12"/>
            </w:rPr>
            <w:t>1</w:t>
          </w:r>
          <w:r w:rsidRPr="00985E39">
            <w:rPr>
              <w:sz w:val="12"/>
            </w:rPr>
            <w:fldChar w:fldCharType="end"/>
          </w:r>
          <w:r w:rsidRPr="00985E39">
            <w:rPr>
              <w:sz w:val="12"/>
            </w:rPr>
            <w:t>/</w:t>
          </w:r>
          <w:r w:rsidRPr="00985E39">
            <w:rPr>
              <w:sz w:val="12"/>
            </w:rPr>
            <w:fldChar w:fldCharType="begin"/>
          </w:r>
          <w:r w:rsidRPr="00985E39">
            <w:rPr>
              <w:sz w:val="12"/>
            </w:rPr>
            <w:instrText xml:space="preserve"> NUMPAGES </w:instrText>
          </w:r>
          <w:r w:rsidRPr="00985E39">
            <w:rPr>
              <w:sz w:val="12"/>
            </w:rPr>
            <w:fldChar w:fldCharType="separate"/>
          </w:r>
          <w:r w:rsidRPr="00985E39">
            <w:rPr>
              <w:sz w:val="12"/>
            </w:rPr>
            <w:t>19</w:t>
          </w:r>
          <w:r w:rsidRPr="00985E39">
            <w:rPr>
              <w:sz w:val="12"/>
            </w:rPr>
            <w:fldChar w:fldCharType="end"/>
          </w:r>
        </w:p>
      </w:tc>
    </w:tr>
    <w:tr w:rsidR="0062513F" w14:paraId="1B27AB1F" w14:textId="77777777" w:rsidTr="00151FC8">
      <w:trPr>
        <w:cantSplit/>
        <w:trHeight w:val="290"/>
      </w:trPr>
      <w:tc>
        <w:tcPr>
          <w:tcW w:w="1106" w:type="pct"/>
          <w:vMerge/>
          <w:vAlign w:val="center"/>
        </w:tcPr>
        <w:p w14:paraId="3F01CC35" w14:textId="77777777" w:rsidR="0062513F" w:rsidRPr="00D64C17" w:rsidRDefault="0062513F" w:rsidP="0062513F">
          <w:pPr>
            <w:pStyle w:val="Intestazione"/>
            <w:jc w:val="center"/>
            <w:rPr>
              <w:noProof/>
              <w:color w:val="0000FF"/>
              <w:sz w:val="32"/>
            </w:rPr>
          </w:pPr>
        </w:p>
      </w:tc>
      <w:tc>
        <w:tcPr>
          <w:tcW w:w="3065" w:type="pct"/>
          <w:vMerge/>
          <w:vAlign w:val="center"/>
        </w:tcPr>
        <w:p w14:paraId="4303DBDB" w14:textId="77777777" w:rsidR="0062513F" w:rsidRPr="000A3113" w:rsidRDefault="0062513F" w:rsidP="0062513F">
          <w:pPr>
            <w:pStyle w:val="Intestazione"/>
            <w:jc w:val="center"/>
            <w:rPr>
              <w:rFonts w:ascii="Verdana" w:hAnsi="Verdana"/>
              <w:b/>
              <w:szCs w:val="16"/>
            </w:rPr>
          </w:pPr>
        </w:p>
      </w:tc>
      <w:tc>
        <w:tcPr>
          <w:tcW w:w="829" w:type="pct"/>
          <w:vAlign w:val="center"/>
        </w:tcPr>
        <w:p w14:paraId="061628CB" w14:textId="161396DF" w:rsidR="0062513F" w:rsidRPr="00BB00C8" w:rsidRDefault="0062513F" w:rsidP="0062513F">
          <w:pPr>
            <w:pStyle w:val="Intestazione"/>
            <w:jc w:val="right"/>
            <w:rPr>
              <w:rFonts w:ascii="Century Gothic" w:hAnsi="Century Gothic"/>
              <w:sz w:val="12"/>
            </w:rPr>
          </w:pPr>
          <w:r>
            <w:rPr>
              <w:rFonts w:ascii="Century Gothic" w:hAnsi="Century Gothic"/>
              <w:sz w:val="12"/>
            </w:rPr>
            <w:t xml:space="preserve">Mod. </w:t>
          </w:r>
          <w:r>
            <w:rPr>
              <w:rFonts w:ascii="Century Gothic" w:hAnsi="Century Gothic"/>
              <w:sz w:val="12"/>
            </w:rPr>
            <w:t>NOMRES_CD</w:t>
          </w:r>
        </w:p>
      </w:tc>
    </w:tr>
    <w:tr w:rsidR="0062513F" w14:paraId="766337E8" w14:textId="77777777" w:rsidTr="00151FC8">
      <w:trPr>
        <w:cantSplit/>
        <w:trHeight w:val="466"/>
      </w:trPr>
      <w:tc>
        <w:tcPr>
          <w:tcW w:w="1106" w:type="pct"/>
          <w:vMerge/>
          <w:vAlign w:val="center"/>
        </w:tcPr>
        <w:p w14:paraId="5BDC80A7" w14:textId="77777777" w:rsidR="0062513F" w:rsidRDefault="0062513F" w:rsidP="0062513F">
          <w:pPr>
            <w:pStyle w:val="Intestazione"/>
          </w:pPr>
        </w:p>
      </w:tc>
      <w:tc>
        <w:tcPr>
          <w:tcW w:w="3065" w:type="pct"/>
          <w:vMerge/>
          <w:vAlign w:val="center"/>
        </w:tcPr>
        <w:p w14:paraId="35406FF1" w14:textId="77777777" w:rsidR="0062513F" w:rsidRPr="00012BE9" w:rsidRDefault="0062513F" w:rsidP="0062513F">
          <w:pPr>
            <w:pStyle w:val="Intestazione"/>
            <w:jc w:val="center"/>
            <w:rPr>
              <w:rFonts w:ascii="Century Gothic" w:hAnsi="Century Gothic"/>
              <w:b/>
            </w:rPr>
          </w:pPr>
        </w:p>
      </w:tc>
      <w:tc>
        <w:tcPr>
          <w:tcW w:w="829" w:type="pct"/>
        </w:tcPr>
        <w:p w14:paraId="04135243" w14:textId="0784A3D2" w:rsidR="0062513F" w:rsidRDefault="0062513F" w:rsidP="0062513F">
          <w:pPr>
            <w:pStyle w:val="Intestazione"/>
            <w:spacing w:after="40"/>
            <w:jc w:val="right"/>
            <w:rPr>
              <w:rFonts w:ascii="Century Gothic" w:hAnsi="Century Gothic"/>
              <w:sz w:val="12"/>
            </w:rPr>
          </w:pPr>
          <w:r>
            <w:rPr>
              <w:rFonts w:ascii="Century Gothic" w:hAnsi="Century Gothic"/>
              <w:sz w:val="12"/>
            </w:rPr>
            <w:t>VERSIONE 0</w:t>
          </w:r>
          <w:r>
            <w:rPr>
              <w:rFonts w:ascii="Century Gothic" w:hAnsi="Century Gothic"/>
              <w:sz w:val="12"/>
            </w:rPr>
            <w:t>1</w:t>
          </w:r>
          <w:r w:rsidRPr="00DB1553">
            <w:rPr>
              <w:rFonts w:ascii="Century Gothic" w:hAnsi="Century Gothic"/>
              <w:sz w:val="12"/>
            </w:rPr>
            <w:t xml:space="preserve">   </w:t>
          </w:r>
        </w:p>
        <w:p w14:paraId="7447826B" w14:textId="77777777" w:rsidR="0062513F" w:rsidRPr="003B4404" w:rsidRDefault="0062513F" w:rsidP="0062513F">
          <w:pPr>
            <w:pStyle w:val="Intestazione"/>
            <w:spacing w:after="40"/>
            <w:jc w:val="right"/>
            <w:rPr>
              <w:rFonts w:ascii="Century Gothic" w:hAnsi="Century Gothic"/>
              <w:sz w:val="12"/>
              <w:szCs w:val="18"/>
            </w:rPr>
          </w:pPr>
          <w:r w:rsidRPr="00BB00C8">
            <w:rPr>
              <w:rFonts w:ascii="Century Gothic" w:hAnsi="Century Gothic"/>
              <w:sz w:val="12"/>
            </w:rPr>
            <w:t>DATA</w:t>
          </w:r>
          <w:r w:rsidRPr="003B4404">
            <w:rPr>
              <w:rFonts w:ascii="Century Gothic" w:hAnsi="Century Gothic"/>
              <w:sz w:val="12"/>
            </w:rPr>
            <w:t xml:space="preserve"> </w:t>
          </w:r>
          <w:r w:rsidRPr="003B4404">
            <w:rPr>
              <w:rFonts w:ascii="Century Gothic" w:hAnsi="Century Gothic"/>
              <w:sz w:val="12"/>
            </w:rPr>
            <w:fldChar w:fldCharType="begin"/>
          </w:r>
          <w:r w:rsidRPr="003B4404">
            <w:rPr>
              <w:rFonts w:ascii="Century Gothic" w:hAnsi="Century Gothic"/>
              <w:sz w:val="12"/>
            </w:rPr>
            <w:instrText xml:space="preserve"> TIME \@ "dd/MM/yyyy" </w:instrText>
          </w:r>
          <w:r w:rsidRPr="003B4404">
            <w:rPr>
              <w:rFonts w:ascii="Century Gothic" w:hAnsi="Century Gothic"/>
              <w:sz w:val="12"/>
            </w:rPr>
            <w:fldChar w:fldCharType="separate"/>
          </w:r>
          <w:r>
            <w:rPr>
              <w:rFonts w:ascii="Century Gothic" w:hAnsi="Century Gothic"/>
              <w:noProof/>
              <w:sz w:val="12"/>
            </w:rPr>
            <w:t>12/06/2025</w:t>
          </w:r>
          <w:r w:rsidRPr="003B4404">
            <w:rPr>
              <w:rFonts w:ascii="Century Gothic" w:hAnsi="Century Gothic"/>
              <w:sz w:val="12"/>
            </w:rPr>
            <w:fldChar w:fldCharType="end"/>
          </w:r>
        </w:p>
      </w:tc>
    </w:tr>
  </w:tbl>
  <w:p w14:paraId="154F513D" w14:textId="77777777" w:rsidR="0062513F" w:rsidRDefault="006251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1F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9172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13F1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4D78AD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0889323">
    <w:abstractNumId w:val="0"/>
  </w:num>
  <w:num w:numId="2" w16cid:durableId="702218569">
    <w:abstractNumId w:val="3"/>
  </w:num>
  <w:num w:numId="3" w16cid:durableId="1967465415">
    <w:abstractNumId w:val="1"/>
  </w:num>
  <w:num w:numId="4" w16cid:durableId="1227299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7A"/>
    <w:rsid w:val="002344C6"/>
    <w:rsid w:val="00275CD0"/>
    <w:rsid w:val="0062513F"/>
    <w:rsid w:val="00743FEF"/>
    <w:rsid w:val="00885B7D"/>
    <w:rsid w:val="009112D0"/>
    <w:rsid w:val="009156C5"/>
    <w:rsid w:val="00A65243"/>
    <w:rsid w:val="00C64754"/>
    <w:rsid w:val="00DC6A7A"/>
    <w:rsid w:val="00EF0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AAC1"/>
  <w15:chartTrackingRefBased/>
  <w15:docId w15:val="{37E49F58-748B-482B-BECA-0AAEBE8B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C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C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6A7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6A7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6A7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6A7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6A7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6A7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6A7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6A7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6A7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6A7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6A7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6A7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6A7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6A7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6A7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6A7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6A7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6A7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6A7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6A7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6A7A"/>
    <w:rPr>
      <w:i/>
      <w:iCs/>
      <w:color w:val="404040" w:themeColor="text1" w:themeTint="BF"/>
    </w:rPr>
  </w:style>
  <w:style w:type="paragraph" w:styleId="Paragrafoelenco">
    <w:name w:val="List Paragraph"/>
    <w:basedOn w:val="Normale"/>
    <w:uiPriority w:val="34"/>
    <w:qFormat/>
    <w:rsid w:val="00DC6A7A"/>
    <w:pPr>
      <w:ind w:left="720"/>
      <w:contextualSpacing/>
    </w:pPr>
  </w:style>
  <w:style w:type="character" w:styleId="Enfasiintensa">
    <w:name w:val="Intense Emphasis"/>
    <w:basedOn w:val="Carpredefinitoparagrafo"/>
    <w:uiPriority w:val="21"/>
    <w:qFormat/>
    <w:rsid w:val="00DC6A7A"/>
    <w:rPr>
      <w:i/>
      <w:iCs/>
      <w:color w:val="0F4761" w:themeColor="accent1" w:themeShade="BF"/>
    </w:rPr>
  </w:style>
  <w:style w:type="paragraph" w:styleId="Citazioneintensa">
    <w:name w:val="Intense Quote"/>
    <w:basedOn w:val="Normale"/>
    <w:next w:val="Normale"/>
    <w:link w:val="CitazioneintensaCarattere"/>
    <w:uiPriority w:val="30"/>
    <w:qFormat/>
    <w:rsid w:val="00DC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6A7A"/>
    <w:rPr>
      <w:i/>
      <w:iCs/>
      <w:color w:val="0F4761" w:themeColor="accent1" w:themeShade="BF"/>
    </w:rPr>
  </w:style>
  <w:style w:type="character" w:styleId="Riferimentointenso">
    <w:name w:val="Intense Reference"/>
    <w:basedOn w:val="Carpredefinitoparagrafo"/>
    <w:uiPriority w:val="32"/>
    <w:qFormat/>
    <w:rsid w:val="00DC6A7A"/>
    <w:rPr>
      <w:b/>
      <w:bCs/>
      <w:smallCaps/>
      <w:color w:val="0F4761" w:themeColor="accent1" w:themeShade="BF"/>
      <w:spacing w:val="5"/>
    </w:rPr>
  </w:style>
  <w:style w:type="paragraph" w:customStyle="1" w:styleId="Default">
    <w:name w:val="Default"/>
    <w:rsid w:val="002344C6"/>
    <w:pPr>
      <w:autoSpaceDE w:val="0"/>
      <w:autoSpaceDN w:val="0"/>
      <w:adjustRightInd w:val="0"/>
      <w:spacing w:after="0" w:line="240" w:lineRule="auto"/>
    </w:pPr>
    <w:rPr>
      <w:rFonts w:ascii="Calibri" w:hAnsi="Calibri" w:cs="Calibri"/>
      <w:color w:val="000000"/>
      <w:kern w:val="0"/>
      <w:sz w:val="24"/>
      <w:szCs w:val="24"/>
    </w:rPr>
  </w:style>
  <w:style w:type="table" w:styleId="Grigliatabella">
    <w:name w:val="Table Grid"/>
    <w:basedOn w:val="Tabellanormale"/>
    <w:uiPriority w:val="39"/>
    <w:rsid w:val="0027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251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513F"/>
  </w:style>
  <w:style w:type="paragraph" w:styleId="Pidipagina">
    <w:name w:val="footer"/>
    <w:basedOn w:val="Normale"/>
    <w:link w:val="PidipaginaCarattere"/>
    <w:uiPriority w:val="99"/>
    <w:unhideWhenUsed/>
    <w:rsid w:val="006251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1020</Words>
  <Characters>5818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Giampa</dc:creator>
  <cp:keywords/>
  <dc:description/>
  <cp:lastModifiedBy>Super Giampa</cp:lastModifiedBy>
  <cp:revision>3</cp:revision>
  <dcterms:created xsi:type="dcterms:W3CDTF">2025-06-12T09:24:00Z</dcterms:created>
  <dcterms:modified xsi:type="dcterms:W3CDTF">2025-06-12T09:46:00Z</dcterms:modified>
</cp:coreProperties>
</file>